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49F03B81"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w:t>
      </w:r>
      <w:r w:rsidR="0082362D">
        <w:rPr>
          <w:rFonts w:ascii="Arial" w:hAnsi="Arial" w:cs="Arial"/>
          <w:b/>
          <w:noProof/>
          <w:sz w:val="24"/>
        </w:rPr>
        <w:t>90bis</w:t>
      </w:r>
      <w:r w:rsidRPr="00391B41">
        <w:rPr>
          <w:rFonts w:ascii="Arial" w:hAnsi="Arial" w:cs="Arial"/>
          <w:b/>
          <w:noProof/>
          <w:sz w:val="24"/>
          <w:szCs w:val="24"/>
          <w:lang w:val="en-US"/>
        </w:rPr>
        <w:tab/>
      </w:r>
      <w:r w:rsidR="00E05BC3" w:rsidRPr="00E05BC3">
        <w:rPr>
          <w:rFonts w:ascii="Arial" w:hAnsi="Arial" w:cs="Arial"/>
          <w:b/>
          <w:noProof/>
          <w:sz w:val="24"/>
          <w:szCs w:val="24"/>
          <w:lang w:val="en-US"/>
        </w:rPr>
        <w:t>R4-1903096</w:t>
      </w:r>
    </w:p>
    <w:p w14:paraId="24E4A3E8" w14:textId="419F3F1E" w:rsidR="00462F31" w:rsidRPr="0082362D" w:rsidRDefault="0082362D" w:rsidP="003C016E">
      <w:pPr>
        <w:pStyle w:val="Header"/>
        <w:rPr>
          <w:sz w:val="24"/>
        </w:rPr>
      </w:pPr>
      <w:r w:rsidRPr="0082362D">
        <w:rPr>
          <w:sz w:val="24"/>
        </w:rPr>
        <w:t>Xi'an, China</w:t>
      </w:r>
    </w:p>
    <w:p w14:paraId="15453EAA" w14:textId="77777777" w:rsidR="0082362D" w:rsidRDefault="0082362D" w:rsidP="003C016E">
      <w:pPr>
        <w:pStyle w:val="Header"/>
        <w:rPr>
          <w:b w:val="0"/>
          <w:sz w:val="24"/>
        </w:rPr>
      </w:pPr>
    </w:p>
    <w:p w14:paraId="7270CE4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45A69703"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05BC3">
        <w:rPr>
          <w:rFonts w:ascii="Arial" w:hAnsi="Arial"/>
          <w:sz w:val="24"/>
          <w:lang w:val="en-US"/>
        </w:rPr>
        <w:t>AGC settling time for NR FR1 V2X</w:t>
      </w:r>
    </w:p>
    <w:p w14:paraId="67DD213C" w14:textId="6FEF57C0"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E05BC3">
        <w:rPr>
          <w:rFonts w:ascii="Arial" w:hAnsi="Arial"/>
          <w:sz w:val="24"/>
          <w:lang w:val="en-US"/>
        </w:rPr>
        <w:t>8.4.2</w:t>
      </w:r>
      <w:bookmarkStart w:id="0" w:name="_GoBack"/>
      <w:bookmarkEnd w:id="0"/>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4ABD8617" w14:textId="34A54205" w:rsidR="00EE2CF3" w:rsidRDefault="002E40DC" w:rsidP="00F22934">
      <w:pPr>
        <w:rPr>
          <w:lang w:val="en-US"/>
        </w:rPr>
      </w:pPr>
      <w:r>
        <w:rPr>
          <w:lang w:val="en-US"/>
        </w:rPr>
        <w:t>In the WF [1], a breakdown of the parameters which affect AGC settling time have been listed and companies were encouraged to explicitly list the values for each of these parameters in this meeting. These parameters are listed below:</w:t>
      </w:r>
    </w:p>
    <w:p w14:paraId="64F38983" w14:textId="77777777" w:rsidR="002E40DC" w:rsidRPr="002E40DC" w:rsidRDefault="002E40DC" w:rsidP="002E40DC">
      <w:pPr>
        <w:numPr>
          <w:ilvl w:val="1"/>
          <w:numId w:val="24"/>
        </w:numPr>
        <w:rPr>
          <w:lang w:val="en-US"/>
        </w:rPr>
      </w:pPr>
      <w:r w:rsidRPr="002E40DC">
        <w:t xml:space="preserve">(a) time offset from the start of the OFDM symbol to account for maximum signal propagation delay from different UEs </w:t>
      </w:r>
    </w:p>
    <w:p w14:paraId="6DEF5E8C" w14:textId="77777777" w:rsidR="002E40DC" w:rsidRPr="002E40DC" w:rsidRDefault="002E40DC" w:rsidP="002E40DC">
      <w:pPr>
        <w:numPr>
          <w:ilvl w:val="1"/>
          <w:numId w:val="24"/>
        </w:numPr>
        <w:rPr>
          <w:lang w:val="en-US"/>
        </w:rPr>
      </w:pPr>
      <w:r w:rsidRPr="002E40DC">
        <w:t>(b) time to receive the window of samples used for estimating the gain/power</w:t>
      </w:r>
    </w:p>
    <w:p w14:paraId="130B19A6" w14:textId="77777777" w:rsidR="002E40DC" w:rsidRPr="002E40DC" w:rsidRDefault="002E40DC" w:rsidP="002E40DC">
      <w:pPr>
        <w:numPr>
          <w:ilvl w:val="1"/>
          <w:numId w:val="24"/>
        </w:numPr>
        <w:rPr>
          <w:lang w:val="en-US"/>
        </w:rPr>
      </w:pPr>
      <w:r w:rsidRPr="002E40DC">
        <w:t xml:space="preserve">(c) time for estimating and programming the desired gain setting </w:t>
      </w:r>
    </w:p>
    <w:p w14:paraId="2BE3A14A" w14:textId="77777777" w:rsidR="002E40DC" w:rsidRPr="002E40DC" w:rsidRDefault="002E40DC" w:rsidP="002E40DC">
      <w:pPr>
        <w:numPr>
          <w:ilvl w:val="1"/>
          <w:numId w:val="24"/>
        </w:numPr>
        <w:rPr>
          <w:lang w:val="en-US"/>
        </w:rPr>
      </w:pPr>
      <w:r w:rsidRPr="002E40DC">
        <w:t xml:space="preserve">(d) time for the gain setting taking into effect </w:t>
      </w:r>
    </w:p>
    <w:p w14:paraId="42E2911C" w14:textId="3C25513D" w:rsidR="002E40DC" w:rsidRDefault="002E40DC" w:rsidP="00F22934">
      <w:pPr>
        <w:rPr>
          <w:bCs/>
        </w:rPr>
      </w:pPr>
      <w:r>
        <w:rPr>
          <w:lang w:val="en-US"/>
        </w:rPr>
        <w:t xml:space="preserve">And AGC settling time is the summation of these parameters </w:t>
      </w:r>
      <w:r w:rsidRPr="002E40DC">
        <w:rPr>
          <w:lang w:val="en-US"/>
        </w:rPr>
        <w:t>(</w:t>
      </w:r>
      <w:r w:rsidRPr="002E40DC">
        <w:rPr>
          <w:bCs/>
        </w:rPr>
        <w:t>AGC setting time =</w:t>
      </w:r>
      <w:proofErr w:type="spellStart"/>
      <w:r w:rsidRPr="002E40DC">
        <w:rPr>
          <w:bCs/>
        </w:rPr>
        <w:t>a+b+c+d</w:t>
      </w:r>
      <w:proofErr w:type="spellEnd"/>
      <w:r w:rsidRPr="002E40DC">
        <w:rPr>
          <w:bCs/>
        </w:rPr>
        <w:t>).</w:t>
      </w:r>
    </w:p>
    <w:p w14:paraId="7EAA53B1" w14:textId="3FD7AA37" w:rsidR="002E40DC" w:rsidRDefault="002E40DC" w:rsidP="00F22934">
      <w:pPr>
        <w:rPr>
          <w:bCs/>
        </w:rPr>
      </w:pPr>
      <w:r>
        <w:rPr>
          <w:bCs/>
        </w:rPr>
        <w:t xml:space="preserve">Also, WF [1] two different options have been listed to minimum RB size for each subcarrier spacing to be studied: </w:t>
      </w:r>
    </w:p>
    <w:p w14:paraId="0BC68887" w14:textId="77777777" w:rsidR="002E40DC" w:rsidRPr="002E40DC" w:rsidRDefault="002E40DC" w:rsidP="002E40DC">
      <w:pPr>
        <w:numPr>
          <w:ilvl w:val="2"/>
          <w:numId w:val="25"/>
        </w:numPr>
        <w:rPr>
          <w:lang w:val="en-US"/>
        </w:rPr>
      </w:pPr>
      <w:r w:rsidRPr="002E40DC">
        <w:rPr>
          <w:lang w:val="en-US"/>
        </w:rPr>
        <w:t>Option1</w:t>
      </w:r>
    </w:p>
    <w:p w14:paraId="5A70638E" w14:textId="77777777" w:rsidR="002E40DC" w:rsidRPr="002E40DC" w:rsidRDefault="002E40DC" w:rsidP="002E40DC">
      <w:pPr>
        <w:numPr>
          <w:ilvl w:val="3"/>
          <w:numId w:val="25"/>
        </w:numPr>
        <w:rPr>
          <w:lang w:val="en-US"/>
        </w:rPr>
      </w:pPr>
      <w:r w:rsidRPr="002E40DC">
        <w:rPr>
          <w:lang w:val="en-US"/>
        </w:rPr>
        <w:t>At least 10RBs for 15kHz</w:t>
      </w:r>
    </w:p>
    <w:p w14:paraId="24A8277D" w14:textId="77777777" w:rsidR="002E40DC" w:rsidRPr="002E40DC" w:rsidRDefault="002E40DC" w:rsidP="002E40DC">
      <w:pPr>
        <w:numPr>
          <w:ilvl w:val="3"/>
          <w:numId w:val="25"/>
        </w:numPr>
        <w:rPr>
          <w:lang w:val="en-US"/>
        </w:rPr>
      </w:pPr>
      <w:r w:rsidRPr="002E40DC">
        <w:rPr>
          <w:lang w:val="en-US"/>
        </w:rPr>
        <w:t>At least 5 RBs for 30kHz</w:t>
      </w:r>
    </w:p>
    <w:p w14:paraId="61FFA546" w14:textId="77777777" w:rsidR="002E40DC" w:rsidRPr="002E40DC" w:rsidRDefault="002E40DC" w:rsidP="002E40DC">
      <w:pPr>
        <w:numPr>
          <w:ilvl w:val="3"/>
          <w:numId w:val="25"/>
        </w:numPr>
        <w:rPr>
          <w:lang w:val="en-US"/>
        </w:rPr>
      </w:pPr>
      <w:r w:rsidRPr="002E40DC">
        <w:rPr>
          <w:lang w:val="en-US"/>
        </w:rPr>
        <w:t>At least 3 RBs for 60kHz</w:t>
      </w:r>
    </w:p>
    <w:p w14:paraId="2774577B" w14:textId="77777777" w:rsidR="002E40DC" w:rsidRPr="002E40DC" w:rsidRDefault="002E40DC" w:rsidP="002E40DC">
      <w:pPr>
        <w:numPr>
          <w:ilvl w:val="2"/>
          <w:numId w:val="25"/>
        </w:numPr>
        <w:rPr>
          <w:lang w:val="en-US"/>
        </w:rPr>
      </w:pPr>
      <w:r w:rsidRPr="002E40DC">
        <w:rPr>
          <w:lang w:val="en-US"/>
        </w:rPr>
        <w:t>Option2</w:t>
      </w:r>
    </w:p>
    <w:p w14:paraId="354CD67C" w14:textId="77777777" w:rsidR="002E40DC" w:rsidRPr="002E40DC" w:rsidRDefault="002E40DC" w:rsidP="002E40DC">
      <w:pPr>
        <w:numPr>
          <w:ilvl w:val="3"/>
          <w:numId w:val="25"/>
        </w:numPr>
        <w:rPr>
          <w:lang w:val="en-US"/>
        </w:rPr>
      </w:pPr>
      <w:r w:rsidRPr="002E40DC">
        <w:rPr>
          <w:lang w:val="en-US"/>
        </w:rPr>
        <w:t>At least 10RBs for all SCSs</w:t>
      </w:r>
    </w:p>
    <w:p w14:paraId="4FA9DC97" w14:textId="10AAEE0B" w:rsidR="002E40DC" w:rsidRDefault="002E40DC" w:rsidP="00F22934">
      <w:pPr>
        <w:rPr>
          <w:lang w:val="en-US"/>
        </w:rPr>
      </w:pPr>
      <w:r>
        <w:rPr>
          <w:lang w:val="en-US"/>
        </w:rPr>
        <w:t xml:space="preserve">Further, a question has been raised if the same AGC settling time is needed for each SCS or should a different value be used for each? </w:t>
      </w:r>
    </w:p>
    <w:p w14:paraId="087ACF67" w14:textId="466F23A7" w:rsidR="002E40DC" w:rsidRDefault="002E40DC" w:rsidP="00F22934">
      <w:pPr>
        <w:rPr>
          <w:lang w:val="en-US"/>
        </w:rPr>
      </w:pPr>
      <w:r>
        <w:rPr>
          <w:lang w:val="en-US"/>
        </w:rPr>
        <w:t xml:space="preserve">In this paper, we address these issues. </w:t>
      </w:r>
    </w:p>
    <w:p w14:paraId="2E959A0E" w14:textId="7B38BD27" w:rsidR="004F1322" w:rsidRPr="00F22934" w:rsidRDefault="00101F28" w:rsidP="00F22934">
      <w:pPr>
        <w:rPr>
          <w:lang w:val="en-US"/>
        </w:rPr>
      </w:pPr>
      <w:r>
        <w:rPr>
          <w:lang w:val="en-US"/>
        </w:rPr>
        <w:t xml:space="preserve"> </w:t>
      </w:r>
    </w:p>
    <w:p w14:paraId="3CA8E1CA" w14:textId="63CE032F" w:rsidR="00C15C1A" w:rsidRDefault="006866E3" w:rsidP="00A67A30">
      <w:pPr>
        <w:pStyle w:val="Heading1"/>
        <w:rPr>
          <w:lang w:val="en-US"/>
        </w:rPr>
      </w:pPr>
      <w:r w:rsidRPr="00C15C1A">
        <w:rPr>
          <w:lang w:val="en-US"/>
        </w:rPr>
        <w:t>Discussion</w:t>
      </w:r>
    </w:p>
    <w:p w14:paraId="715D1250" w14:textId="30720216" w:rsidR="00EE2CF3" w:rsidRDefault="00B45A0A" w:rsidP="00B45A0A">
      <w:pPr>
        <w:pStyle w:val="Heading2"/>
        <w:rPr>
          <w:lang w:val="en-US"/>
        </w:rPr>
      </w:pPr>
      <w:r>
        <w:rPr>
          <w:lang w:val="en-US"/>
        </w:rPr>
        <w:t>AGC settling time breakdown</w:t>
      </w:r>
    </w:p>
    <w:p w14:paraId="03C1658F" w14:textId="71565648" w:rsidR="00E75228" w:rsidRDefault="00E75228" w:rsidP="00B45A0A">
      <w:pPr>
        <w:rPr>
          <w:lang w:val="en-US"/>
        </w:rPr>
      </w:pPr>
      <w:r>
        <w:rPr>
          <w:lang w:val="en-US"/>
        </w:rPr>
        <w:t>AGC settling time is highly dependent on the implementation details. For example, a company could choose to use a higher loop gain and achieve faster settling time at the cost of higher error. Or it could choose to have a smaller loop gain and take longer to settle but achieve less error. Similarly, the HW settling time could change from one implementation to the other.</w:t>
      </w:r>
    </w:p>
    <w:p w14:paraId="20C6C190" w14:textId="4F6F50BE" w:rsidR="00B45A0A" w:rsidRDefault="00E75228" w:rsidP="00B45A0A">
      <w:pPr>
        <w:rPr>
          <w:lang w:val="en-US"/>
        </w:rPr>
      </w:pPr>
      <w:r>
        <w:rPr>
          <w:lang w:val="en-US"/>
        </w:rPr>
        <w:t xml:space="preserve">So, we believe that there is no point discussing how long each company takes for individual parameters. Instead an approach which uses system level analysis should be used. We think that a goal of not losing more than 1 symbol for 30kHz SCS for AGC estimation, </w:t>
      </w:r>
      <w:r w:rsidR="0074713B">
        <w:rPr>
          <w:lang w:val="en-US"/>
        </w:rPr>
        <w:t xml:space="preserve">HW </w:t>
      </w:r>
      <w:r>
        <w:rPr>
          <w:lang w:val="en-US"/>
        </w:rPr>
        <w:t xml:space="preserve">programming and </w:t>
      </w:r>
      <w:r w:rsidR="0074713B">
        <w:rPr>
          <w:lang w:val="en-US"/>
        </w:rPr>
        <w:t xml:space="preserve">HW </w:t>
      </w:r>
      <w:r>
        <w:rPr>
          <w:lang w:val="en-US"/>
        </w:rPr>
        <w:t xml:space="preserve">settling time is a better approach. </w:t>
      </w:r>
    </w:p>
    <w:p w14:paraId="145BDC0B" w14:textId="7D302797" w:rsidR="009A07F2" w:rsidRDefault="009A07F2" w:rsidP="00B45A0A">
      <w:pPr>
        <w:rPr>
          <w:lang w:val="en-US"/>
        </w:rPr>
      </w:pPr>
      <w:r w:rsidRPr="009A07F2">
        <w:rPr>
          <w:b/>
          <w:lang w:val="en-US"/>
        </w:rPr>
        <w:lastRenderedPageBreak/>
        <w:t>Proposal 1:</w:t>
      </w:r>
      <w:r>
        <w:rPr>
          <w:lang w:val="en-US"/>
        </w:rPr>
        <w:t xml:space="preserve"> Companies should discuss the final value of AGC settling time needed instead of discussing a detailed breakdown.</w:t>
      </w:r>
    </w:p>
    <w:p w14:paraId="04D2195D" w14:textId="3AA3740B" w:rsidR="00E75228" w:rsidRDefault="000B47D4" w:rsidP="00E75228">
      <w:pPr>
        <w:pStyle w:val="Heading2"/>
        <w:rPr>
          <w:lang w:val="en-US"/>
        </w:rPr>
      </w:pPr>
      <w:r>
        <w:rPr>
          <w:lang w:val="en-US"/>
        </w:rPr>
        <w:t>Number of RBs per SCS</w:t>
      </w:r>
    </w:p>
    <w:p w14:paraId="6D34AB7C" w14:textId="3D172D75" w:rsidR="000B47D4" w:rsidRDefault="000B47D4" w:rsidP="000B47D4">
      <w:pPr>
        <w:rPr>
          <w:lang w:val="en-US"/>
        </w:rPr>
      </w:pPr>
      <w:r>
        <w:rPr>
          <w:lang w:val="en-US"/>
        </w:rPr>
        <w:t>There were two options listed in the WF [1] to consider the minimum number of RBs needed for each SCS.</w:t>
      </w:r>
    </w:p>
    <w:p w14:paraId="2BA7A8A2" w14:textId="1CE11C1D" w:rsidR="000B47D4" w:rsidRDefault="000B47D4" w:rsidP="000B47D4">
      <w:pPr>
        <w:rPr>
          <w:lang w:val="en-US"/>
        </w:rPr>
      </w:pPr>
      <w:r>
        <w:rPr>
          <w:lang w:val="en-US"/>
        </w:rPr>
        <w:t xml:space="preserve">During internal discussions it was pointed out that there might be other reasons like the number of control bits needed which might make option 2 a more reasonable one to consider. </w:t>
      </w:r>
    </w:p>
    <w:p w14:paraId="0300578F" w14:textId="32CD9E32" w:rsidR="000B47D4" w:rsidRDefault="000B47D4" w:rsidP="000B47D4">
      <w:pPr>
        <w:rPr>
          <w:lang w:val="en-US"/>
        </w:rPr>
      </w:pPr>
      <w:r w:rsidRPr="009A07F2">
        <w:rPr>
          <w:b/>
          <w:lang w:val="en-US"/>
        </w:rPr>
        <w:t xml:space="preserve">Proposal </w:t>
      </w:r>
      <w:r w:rsidR="009A07F2">
        <w:rPr>
          <w:b/>
          <w:lang w:val="en-US"/>
        </w:rPr>
        <w:t>2</w:t>
      </w:r>
      <w:r w:rsidRPr="009A07F2">
        <w:rPr>
          <w:b/>
          <w:lang w:val="en-US"/>
        </w:rPr>
        <w:t>:</w:t>
      </w:r>
      <w:r>
        <w:rPr>
          <w:lang w:val="en-US"/>
        </w:rPr>
        <w:t xml:space="preserve"> Assume at least 10 RBs for all SCS be transmitted for the first symbol which is used for AGC settling time. </w:t>
      </w:r>
    </w:p>
    <w:p w14:paraId="5A6EBD3B" w14:textId="066DC574" w:rsidR="000B47D4" w:rsidRDefault="000B47D4" w:rsidP="000B47D4">
      <w:pPr>
        <w:pStyle w:val="Heading2"/>
        <w:rPr>
          <w:lang w:val="en-US"/>
        </w:rPr>
      </w:pPr>
      <w:r>
        <w:rPr>
          <w:lang w:val="en-US"/>
        </w:rPr>
        <w:t>AGC settling time per SCS</w:t>
      </w:r>
    </w:p>
    <w:p w14:paraId="3C3CB7C7" w14:textId="708C9F13" w:rsidR="000B47D4" w:rsidRDefault="00A1212A" w:rsidP="000B47D4">
      <w:pPr>
        <w:rPr>
          <w:lang w:val="en-US"/>
        </w:rPr>
      </w:pPr>
      <w:r>
        <w:rPr>
          <w:lang w:val="en-US"/>
        </w:rPr>
        <w:t>When we vary SCS</w:t>
      </w:r>
      <w:r w:rsidR="00B86646">
        <w:rPr>
          <w:lang w:val="en-US"/>
        </w:rPr>
        <w:t>,</w:t>
      </w:r>
      <w:r>
        <w:rPr>
          <w:lang w:val="en-US"/>
        </w:rPr>
        <w:t xml:space="preserve"> FFT length scales proportionally, but the sampling frequency remains the same. For AGC settling time one needs the same number of samples for each SCS to achieve certain level of accuracy. Rest of the parameters like HW programing time, HW settling time remain SCS agnostic. Hence</w:t>
      </w:r>
      <w:r w:rsidR="001E0E5E">
        <w:rPr>
          <w:lang w:val="en-US"/>
        </w:rPr>
        <w:t>,</w:t>
      </w:r>
      <w:r>
        <w:rPr>
          <w:lang w:val="en-US"/>
        </w:rPr>
        <w:t xml:space="preserve"> we believe that the same AGC settling time should be used for all SCS. </w:t>
      </w:r>
    </w:p>
    <w:p w14:paraId="0571E9AA" w14:textId="07EBB14F" w:rsidR="00A1212A" w:rsidRDefault="00A1212A" w:rsidP="000B47D4">
      <w:pPr>
        <w:rPr>
          <w:lang w:val="en-US"/>
        </w:rPr>
      </w:pPr>
      <w:r w:rsidRPr="009A07F2">
        <w:rPr>
          <w:b/>
          <w:lang w:val="en-US"/>
        </w:rPr>
        <w:t xml:space="preserve">Proposal </w:t>
      </w:r>
      <w:r w:rsidR="009A07F2">
        <w:rPr>
          <w:b/>
          <w:lang w:val="en-US"/>
        </w:rPr>
        <w:t>3</w:t>
      </w:r>
      <w:r w:rsidRPr="009A07F2">
        <w:rPr>
          <w:b/>
          <w:lang w:val="en-US"/>
        </w:rPr>
        <w:t>:</w:t>
      </w:r>
      <w:r>
        <w:rPr>
          <w:lang w:val="en-US"/>
        </w:rPr>
        <w:t xml:space="preserve"> All SCS should use the same limit for maximum AGC settling time.</w:t>
      </w:r>
    </w:p>
    <w:p w14:paraId="2AE5380E" w14:textId="29E391A4" w:rsidR="008F365B" w:rsidRDefault="008F365B" w:rsidP="008F365B">
      <w:pPr>
        <w:pStyle w:val="Heading2"/>
        <w:rPr>
          <w:lang w:val="en-US"/>
        </w:rPr>
      </w:pPr>
      <w:r>
        <w:rPr>
          <w:lang w:val="en-US"/>
        </w:rPr>
        <w:t>AGC settling time</w:t>
      </w:r>
    </w:p>
    <w:p w14:paraId="1A570C55" w14:textId="5DBF8147" w:rsidR="00855C20" w:rsidRPr="00855C20" w:rsidRDefault="00855C20" w:rsidP="00855C20">
      <w:pPr>
        <w:rPr>
          <w:lang w:val="en-US"/>
        </w:rPr>
      </w:pPr>
      <w:r>
        <w:rPr>
          <w:lang w:val="en-US"/>
        </w:rPr>
        <w:t>In [2], a plot of the AGC settling time within a certain probability of error has been presented. From the figure</w:t>
      </w:r>
      <w:r w:rsidR="001E0E5E">
        <w:rPr>
          <w:lang w:val="en-US"/>
        </w:rPr>
        <w:t>,</w:t>
      </w:r>
      <w:r>
        <w:rPr>
          <w:lang w:val="en-US"/>
        </w:rPr>
        <w:t xml:space="preserve"> </w:t>
      </w:r>
      <w:proofErr w:type="gramStart"/>
      <w:r>
        <w:rPr>
          <w:lang w:val="en-US"/>
        </w:rPr>
        <w:t>it is clear that with</w:t>
      </w:r>
      <w:proofErr w:type="gramEnd"/>
      <w:r>
        <w:rPr>
          <w:lang w:val="en-US"/>
        </w:rPr>
        <w:t xml:space="preserve"> 10 RBs, the settling time is significantly less than 35 </w:t>
      </w:r>
      <w:proofErr w:type="spellStart"/>
      <w:r>
        <w:rPr>
          <w:lang w:val="en-US"/>
        </w:rPr>
        <w:t>usec</w:t>
      </w:r>
      <w:proofErr w:type="spellEnd"/>
      <w:r>
        <w:rPr>
          <w:lang w:val="en-US"/>
        </w:rPr>
        <w:t xml:space="preserve"> (approximately 1 symbol time for 30kHz SCS) with CP-OFDM waveform. We believe that AGC settling time of 35 </w:t>
      </w:r>
      <w:proofErr w:type="spellStart"/>
      <w:r>
        <w:rPr>
          <w:lang w:val="en-US"/>
        </w:rPr>
        <w:t>usec</w:t>
      </w:r>
      <w:proofErr w:type="spellEnd"/>
      <w:r>
        <w:rPr>
          <w:lang w:val="en-US"/>
        </w:rPr>
        <w:t xml:space="preserve"> is a good spec to strive for all SCS with the assumption of at least 10 RBs for each SCS for the first symbol. </w:t>
      </w:r>
    </w:p>
    <w:p w14:paraId="597D172E" w14:textId="2D4D2B6F" w:rsidR="008F365B" w:rsidRPr="008F365B" w:rsidRDefault="00855C20" w:rsidP="008F365B">
      <w:pPr>
        <w:rPr>
          <w:lang w:val="en-US"/>
        </w:rPr>
      </w:pPr>
      <w:r>
        <w:rPr>
          <w:noProof/>
          <w:lang w:eastAsia="zh-CN"/>
        </w:rPr>
        <w:drawing>
          <wp:inline distT="0" distB="0" distL="0" distR="0" wp14:anchorId="0487FEB2" wp14:editId="70429D12">
            <wp:extent cx="2508616" cy="1960311"/>
            <wp:effectExtent l="0" t="0" r="635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44591" cy="1988423"/>
                    </a:xfrm>
                    <a:prstGeom prst="rect">
                      <a:avLst/>
                    </a:prstGeom>
                  </pic:spPr>
                </pic:pic>
              </a:graphicData>
            </a:graphic>
          </wp:inline>
        </w:drawing>
      </w:r>
    </w:p>
    <w:p w14:paraId="74AB5300" w14:textId="602B649D" w:rsidR="000B47D4" w:rsidRDefault="000B47D4" w:rsidP="000B47D4">
      <w:pPr>
        <w:rPr>
          <w:lang w:val="en-US"/>
        </w:rPr>
      </w:pPr>
    </w:p>
    <w:p w14:paraId="7BBFB3AC" w14:textId="602C0B68" w:rsidR="00855C20" w:rsidRDefault="00855C20" w:rsidP="000B47D4">
      <w:pPr>
        <w:rPr>
          <w:lang w:val="en-US"/>
        </w:rPr>
      </w:pPr>
      <w:r w:rsidRPr="009A07F2">
        <w:rPr>
          <w:b/>
          <w:lang w:val="en-US"/>
        </w:rPr>
        <w:t xml:space="preserve">Proposal </w:t>
      </w:r>
      <w:r w:rsidR="009A07F2">
        <w:rPr>
          <w:b/>
          <w:lang w:val="en-US"/>
        </w:rPr>
        <w:t>4</w:t>
      </w:r>
      <w:r w:rsidRPr="009A07F2">
        <w:rPr>
          <w:b/>
          <w:lang w:val="en-US"/>
        </w:rPr>
        <w:t>:</w:t>
      </w:r>
      <w:r>
        <w:rPr>
          <w:lang w:val="en-US"/>
        </w:rPr>
        <w:t xml:space="preserve"> AGC setting time, which includes </w:t>
      </w:r>
      <w:r w:rsidR="009A07F2">
        <w:rPr>
          <w:lang w:val="en-US"/>
        </w:rPr>
        <w:t xml:space="preserve">AGC </w:t>
      </w:r>
      <w:r>
        <w:rPr>
          <w:lang w:val="en-US"/>
        </w:rPr>
        <w:t xml:space="preserve">estimation, HW programming and HW settling time shall be at most 35 </w:t>
      </w:r>
      <w:proofErr w:type="spellStart"/>
      <w:r>
        <w:rPr>
          <w:lang w:val="en-US"/>
        </w:rPr>
        <w:t>usec</w:t>
      </w:r>
      <w:proofErr w:type="spellEnd"/>
      <w:r>
        <w:rPr>
          <w:lang w:val="en-US"/>
        </w:rPr>
        <w:t>.</w:t>
      </w:r>
    </w:p>
    <w:p w14:paraId="1E3714A5" w14:textId="2609CD28" w:rsidR="000B47D4" w:rsidRPr="000B47D4" w:rsidRDefault="000B47D4" w:rsidP="000B47D4">
      <w:pPr>
        <w:rPr>
          <w:lang w:val="en-US"/>
        </w:rPr>
      </w:pPr>
      <w:r w:rsidRPr="009A07F2">
        <w:rPr>
          <w:b/>
          <w:lang w:val="en-US"/>
        </w:rPr>
        <w:t xml:space="preserve">Proposal </w:t>
      </w:r>
      <w:r w:rsidR="009A07F2">
        <w:rPr>
          <w:b/>
          <w:lang w:val="en-US"/>
        </w:rPr>
        <w:t>5</w:t>
      </w:r>
      <w:r w:rsidRPr="009A07F2">
        <w:rPr>
          <w:b/>
          <w:lang w:val="en-US"/>
        </w:rPr>
        <w:t>:</w:t>
      </w:r>
      <w:r>
        <w:rPr>
          <w:lang w:val="en-US"/>
        </w:rPr>
        <w:t xml:space="preserve"> Send LS to RAN1 </w:t>
      </w:r>
      <w:r w:rsidR="009F2AFA">
        <w:rPr>
          <w:lang w:val="en-US"/>
        </w:rPr>
        <w:t xml:space="preserve">listing proposals </w:t>
      </w:r>
      <w:r w:rsidR="009A07F2">
        <w:rPr>
          <w:lang w:val="en-US"/>
        </w:rPr>
        <w:t>2</w:t>
      </w:r>
      <w:r w:rsidR="009F2AFA">
        <w:rPr>
          <w:lang w:val="en-US"/>
        </w:rPr>
        <w:t>-</w:t>
      </w:r>
      <w:r w:rsidR="009A07F2">
        <w:rPr>
          <w:lang w:val="en-US"/>
        </w:rPr>
        <w:t>4</w:t>
      </w:r>
      <w:r w:rsidR="009F2AFA">
        <w:rPr>
          <w:lang w:val="en-US"/>
        </w:rPr>
        <w:t>.</w:t>
      </w:r>
      <w:r>
        <w:rPr>
          <w:lang w:val="en-US"/>
        </w:rPr>
        <w:t xml:space="preserve"> </w:t>
      </w:r>
    </w:p>
    <w:p w14:paraId="0E0F4862" w14:textId="77777777" w:rsidR="002619C7" w:rsidRDefault="00BF6880" w:rsidP="00F22934">
      <w:pPr>
        <w:pStyle w:val="Heading1"/>
      </w:pPr>
      <w:r>
        <w:t>C</w:t>
      </w:r>
      <w:r w:rsidR="00C762BF">
        <w:t>onclusion</w:t>
      </w:r>
    </w:p>
    <w:p w14:paraId="4FA5C6FC" w14:textId="1CAC1854" w:rsidR="00EE2CF3" w:rsidRPr="00EE2CF3" w:rsidRDefault="000D0C93" w:rsidP="00EE2CF3">
      <w:r>
        <w:t xml:space="preserve">In this paper, we analysed the </w:t>
      </w:r>
      <w:r w:rsidR="00DD0189">
        <w:t xml:space="preserve">time taken for AGC settling for different SCS and have come up with proposals listed above. We believe that 35 </w:t>
      </w:r>
      <w:proofErr w:type="spellStart"/>
      <w:r w:rsidR="00DD0189">
        <w:t>usec</w:t>
      </w:r>
      <w:proofErr w:type="spellEnd"/>
      <w:r w:rsidR="00DD0189">
        <w:t xml:space="preserve"> is </w:t>
      </w:r>
      <w:proofErr w:type="gramStart"/>
      <w:r w:rsidR="00DD0189">
        <w:t>sufficient</w:t>
      </w:r>
      <w:proofErr w:type="gramEnd"/>
      <w:r w:rsidR="00DD0189">
        <w:t xml:space="preserve"> for AGC settling time for all SCS with the assumption of at</w:t>
      </w:r>
      <w:r w:rsidR="001269C7">
        <w:t xml:space="preserve"> l</w:t>
      </w:r>
      <w:r w:rsidR="00DD0189">
        <w:t xml:space="preserve">east 10 RBs for the first symbol. </w:t>
      </w:r>
    </w:p>
    <w:p w14:paraId="0ECB10B7" w14:textId="4B5E4541" w:rsidR="00D62CD8" w:rsidRDefault="00D62CD8" w:rsidP="00D62CD8">
      <w:pPr>
        <w:pStyle w:val="Heading1"/>
        <w:jc w:val="both"/>
      </w:pPr>
      <w:r>
        <w:t>References</w:t>
      </w:r>
    </w:p>
    <w:p w14:paraId="7A93A8F9" w14:textId="30F26650" w:rsidR="00DD0189" w:rsidRDefault="00DD0189" w:rsidP="00DD0189">
      <w:r>
        <w:t xml:space="preserve">[1] </w:t>
      </w:r>
      <w:r w:rsidRPr="00DD0189">
        <w:t>R4-1902511</w:t>
      </w:r>
      <w:r>
        <w:t xml:space="preserve">, </w:t>
      </w:r>
      <w:r w:rsidRPr="00DD0189">
        <w:t>WF on NR V2X UE RF parameters and transient period</w:t>
      </w:r>
    </w:p>
    <w:p w14:paraId="24FB13F6" w14:textId="387914FE" w:rsidR="00EE2CF3" w:rsidRPr="00EE2CF3" w:rsidRDefault="00DD0189" w:rsidP="00EE2CF3">
      <w:r>
        <w:t xml:space="preserve">[2] </w:t>
      </w:r>
      <w:r w:rsidRPr="00DD0189">
        <w:t>R4-1900691</w:t>
      </w:r>
      <w:r>
        <w:t xml:space="preserve">, </w:t>
      </w:r>
      <w:r w:rsidRPr="00DD0189">
        <w:t>On AGC settling time</w:t>
      </w:r>
    </w:p>
    <w:sectPr w:rsidR="00EE2CF3" w:rsidRPr="00EE2CF3"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8C31E" w14:textId="77777777" w:rsidR="00071F21" w:rsidRDefault="00071F21">
      <w:r>
        <w:separator/>
      </w:r>
    </w:p>
  </w:endnote>
  <w:endnote w:type="continuationSeparator" w:id="0">
    <w:p w14:paraId="600A036F" w14:textId="77777777" w:rsidR="00071F21" w:rsidRDefault="0007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0796E" w14:textId="77777777" w:rsidR="00071F21" w:rsidRDefault="00071F21">
      <w:r>
        <w:separator/>
      </w:r>
    </w:p>
  </w:footnote>
  <w:footnote w:type="continuationSeparator" w:id="0">
    <w:p w14:paraId="49150492" w14:textId="77777777" w:rsidR="00071F21" w:rsidRDefault="00071F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C74921"/>
    <w:multiLevelType w:val="hybridMultilevel"/>
    <w:tmpl w:val="5E2880FA"/>
    <w:lvl w:ilvl="0" w:tplc="62B40A2A">
      <w:start w:val="1"/>
      <w:numFmt w:val="bullet"/>
      <w:lvlText w:val="•"/>
      <w:lvlJc w:val="left"/>
      <w:pPr>
        <w:tabs>
          <w:tab w:val="num" w:pos="720"/>
        </w:tabs>
        <w:ind w:left="720" w:hanging="360"/>
      </w:pPr>
      <w:rPr>
        <w:rFonts w:ascii="Arial" w:hAnsi="Arial" w:hint="default"/>
      </w:rPr>
    </w:lvl>
    <w:lvl w:ilvl="1" w:tplc="2F58C056" w:tentative="1">
      <w:start w:val="1"/>
      <w:numFmt w:val="bullet"/>
      <w:lvlText w:val="•"/>
      <w:lvlJc w:val="left"/>
      <w:pPr>
        <w:tabs>
          <w:tab w:val="num" w:pos="1440"/>
        </w:tabs>
        <w:ind w:left="1440" w:hanging="360"/>
      </w:pPr>
      <w:rPr>
        <w:rFonts w:ascii="Arial" w:hAnsi="Arial" w:hint="default"/>
      </w:rPr>
    </w:lvl>
    <w:lvl w:ilvl="2" w:tplc="193C8410">
      <w:start w:val="1"/>
      <w:numFmt w:val="bullet"/>
      <w:lvlText w:val="•"/>
      <w:lvlJc w:val="left"/>
      <w:pPr>
        <w:tabs>
          <w:tab w:val="num" w:pos="2160"/>
        </w:tabs>
        <w:ind w:left="2160" w:hanging="360"/>
      </w:pPr>
      <w:rPr>
        <w:rFonts w:ascii="Arial" w:hAnsi="Arial" w:hint="default"/>
      </w:rPr>
    </w:lvl>
    <w:lvl w:ilvl="3" w:tplc="F6E0823C">
      <w:start w:val="206"/>
      <w:numFmt w:val="bullet"/>
      <w:lvlText w:val="–"/>
      <w:lvlJc w:val="left"/>
      <w:pPr>
        <w:tabs>
          <w:tab w:val="num" w:pos="2880"/>
        </w:tabs>
        <w:ind w:left="2880" w:hanging="360"/>
      </w:pPr>
      <w:rPr>
        <w:rFonts w:ascii="Arial" w:hAnsi="Arial" w:hint="default"/>
      </w:rPr>
    </w:lvl>
    <w:lvl w:ilvl="4" w:tplc="9E861C58" w:tentative="1">
      <w:start w:val="1"/>
      <w:numFmt w:val="bullet"/>
      <w:lvlText w:val="•"/>
      <w:lvlJc w:val="left"/>
      <w:pPr>
        <w:tabs>
          <w:tab w:val="num" w:pos="3600"/>
        </w:tabs>
        <w:ind w:left="3600" w:hanging="360"/>
      </w:pPr>
      <w:rPr>
        <w:rFonts w:ascii="Arial" w:hAnsi="Arial" w:hint="default"/>
      </w:rPr>
    </w:lvl>
    <w:lvl w:ilvl="5" w:tplc="E652749C" w:tentative="1">
      <w:start w:val="1"/>
      <w:numFmt w:val="bullet"/>
      <w:lvlText w:val="•"/>
      <w:lvlJc w:val="left"/>
      <w:pPr>
        <w:tabs>
          <w:tab w:val="num" w:pos="4320"/>
        </w:tabs>
        <w:ind w:left="4320" w:hanging="360"/>
      </w:pPr>
      <w:rPr>
        <w:rFonts w:ascii="Arial" w:hAnsi="Arial" w:hint="default"/>
      </w:rPr>
    </w:lvl>
    <w:lvl w:ilvl="6" w:tplc="279AA728" w:tentative="1">
      <w:start w:val="1"/>
      <w:numFmt w:val="bullet"/>
      <w:lvlText w:val="•"/>
      <w:lvlJc w:val="left"/>
      <w:pPr>
        <w:tabs>
          <w:tab w:val="num" w:pos="5040"/>
        </w:tabs>
        <w:ind w:left="5040" w:hanging="360"/>
      </w:pPr>
      <w:rPr>
        <w:rFonts w:ascii="Arial" w:hAnsi="Arial" w:hint="default"/>
      </w:rPr>
    </w:lvl>
    <w:lvl w:ilvl="7" w:tplc="48CC0A28" w:tentative="1">
      <w:start w:val="1"/>
      <w:numFmt w:val="bullet"/>
      <w:lvlText w:val="•"/>
      <w:lvlJc w:val="left"/>
      <w:pPr>
        <w:tabs>
          <w:tab w:val="num" w:pos="5760"/>
        </w:tabs>
        <w:ind w:left="5760" w:hanging="360"/>
      </w:pPr>
      <w:rPr>
        <w:rFonts w:ascii="Arial" w:hAnsi="Arial" w:hint="default"/>
      </w:rPr>
    </w:lvl>
    <w:lvl w:ilvl="8" w:tplc="E29C32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D260C3"/>
    <w:multiLevelType w:val="hybridMultilevel"/>
    <w:tmpl w:val="E356F992"/>
    <w:lvl w:ilvl="0" w:tplc="F5FC54DA">
      <w:start w:val="1"/>
      <w:numFmt w:val="bullet"/>
      <w:lvlText w:val="–"/>
      <w:lvlJc w:val="left"/>
      <w:pPr>
        <w:tabs>
          <w:tab w:val="num" w:pos="720"/>
        </w:tabs>
        <w:ind w:left="720" w:hanging="360"/>
      </w:pPr>
      <w:rPr>
        <w:rFonts w:ascii="Arial" w:hAnsi="Arial" w:hint="default"/>
      </w:rPr>
    </w:lvl>
    <w:lvl w:ilvl="1" w:tplc="C8FAA3D8">
      <w:start w:val="1"/>
      <w:numFmt w:val="bullet"/>
      <w:lvlText w:val="–"/>
      <w:lvlJc w:val="left"/>
      <w:pPr>
        <w:tabs>
          <w:tab w:val="num" w:pos="1440"/>
        </w:tabs>
        <w:ind w:left="1440" w:hanging="360"/>
      </w:pPr>
      <w:rPr>
        <w:rFonts w:ascii="Arial" w:hAnsi="Arial" w:hint="default"/>
      </w:rPr>
    </w:lvl>
    <w:lvl w:ilvl="2" w:tplc="3426E91A" w:tentative="1">
      <w:start w:val="1"/>
      <w:numFmt w:val="bullet"/>
      <w:lvlText w:val="–"/>
      <w:lvlJc w:val="left"/>
      <w:pPr>
        <w:tabs>
          <w:tab w:val="num" w:pos="2160"/>
        </w:tabs>
        <w:ind w:left="2160" w:hanging="360"/>
      </w:pPr>
      <w:rPr>
        <w:rFonts w:ascii="Arial" w:hAnsi="Arial" w:hint="default"/>
      </w:rPr>
    </w:lvl>
    <w:lvl w:ilvl="3" w:tplc="0FC687BE" w:tentative="1">
      <w:start w:val="1"/>
      <w:numFmt w:val="bullet"/>
      <w:lvlText w:val="–"/>
      <w:lvlJc w:val="left"/>
      <w:pPr>
        <w:tabs>
          <w:tab w:val="num" w:pos="2880"/>
        </w:tabs>
        <w:ind w:left="2880" w:hanging="360"/>
      </w:pPr>
      <w:rPr>
        <w:rFonts w:ascii="Arial" w:hAnsi="Arial" w:hint="default"/>
      </w:rPr>
    </w:lvl>
    <w:lvl w:ilvl="4" w:tplc="12A4884E" w:tentative="1">
      <w:start w:val="1"/>
      <w:numFmt w:val="bullet"/>
      <w:lvlText w:val="–"/>
      <w:lvlJc w:val="left"/>
      <w:pPr>
        <w:tabs>
          <w:tab w:val="num" w:pos="3600"/>
        </w:tabs>
        <w:ind w:left="3600" w:hanging="360"/>
      </w:pPr>
      <w:rPr>
        <w:rFonts w:ascii="Arial" w:hAnsi="Arial" w:hint="default"/>
      </w:rPr>
    </w:lvl>
    <w:lvl w:ilvl="5" w:tplc="9D3A2C78" w:tentative="1">
      <w:start w:val="1"/>
      <w:numFmt w:val="bullet"/>
      <w:lvlText w:val="–"/>
      <w:lvlJc w:val="left"/>
      <w:pPr>
        <w:tabs>
          <w:tab w:val="num" w:pos="4320"/>
        </w:tabs>
        <w:ind w:left="4320" w:hanging="360"/>
      </w:pPr>
      <w:rPr>
        <w:rFonts w:ascii="Arial" w:hAnsi="Arial" w:hint="default"/>
      </w:rPr>
    </w:lvl>
    <w:lvl w:ilvl="6" w:tplc="51A6AF4C" w:tentative="1">
      <w:start w:val="1"/>
      <w:numFmt w:val="bullet"/>
      <w:lvlText w:val="–"/>
      <w:lvlJc w:val="left"/>
      <w:pPr>
        <w:tabs>
          <w:tab w:val="num" w:pos="5040"/>
        </w:tabs>
        <w:ind w:left="5040" w:hanging="360"/>
      </w:pPr>
      <w:rPr>
        <w:rFonts w:ascii="Arial" w:hAnsi="Arial" w:hint="default"/>
      </w:rPr>
    </w:lvl>
    <w:lvl w:ilvl="7" w:tplc="8A4E37AC" w:tentative="1">
      <w:start w:val="1"/>
      <w:numFmt w:val="bullet"/>
      <w:lvlText w:val="–"/>
      <w:lvlJc w:val="left"/>
      <w:pPr>
        <w:tabs>
          <w:tab w:val="num" w:pos="5760"/>
        </w:tabs>
        <w:ind w:left="5760" w:hanging="360"/>
      </w:pPr>
      <w:rPr>
        <w:rFonts w:ascii="Arial" w:hAnsi="Arial" w:hint="default"/>
      </w:rPr>
    </w:lvl>
    <w:lvl w:ilvl="8" w:tplc="1E0C2B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4"/>
  </w:num>
  <w:num w:numId="3">
    <w:abstractNumId w:val="18"/>
  </w:num>
  <w:num w:numId="4">
    <w:abstractNumId w:val="22"/>
  </w:num>
  <w:num w:numId="5">
    <w:abstractNumId w:val="12"/>
  </w:num>
  <w:num w:numId="6">
    <w:abstractNumId w:val="6"/>
  </w:num>
  <w:num w:numId="7">
    <w:abstractNumId w:val="1"/>
  </w:num>
  <w:num w:numId="8">
    <w:abstractNumId w:val="16"/>
  </w:num>
  <w:num w:numId="9">
    <w:abstractNumId w:val="7"/>
  </w:num>
  <w:num w:numId="10">
    <w:abstractNumId w:val="10"/>
  </w:num>
  <w:num w:numId="11">
    <w:abstractNumId w:val="23"/>
  </w:num>
  <w:num w:numId="12">
    <w:abstractNumId w:val="21"/>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3"/>
  </w:num>
  <w:num w:numId="21">
    <w:abstractNumId w:val="17"/>
  </w:num>
  <w:num w:numId="22">
    <w:abstractNumId w:val="11"/>
  </w:num>
  <w:num w:numId="23">
    <w:abstractNumId w:val="15"/>
  </w:num>
  <w:num w:numId="24">
    <w:abstractNumId w:val="20"/>
  </w:num>
  <w:num w:numId="25">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7CE"/>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1F21"/>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47D4"/>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0C93"/>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9C7"/>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0E5E"/>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0DC"/>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1FF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657E"/>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4713B"/>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5C20"/>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65B"/>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07F2"/>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2AFA"/>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212A"/>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5A0A"/>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6646"/>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177DF"/>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89"/>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BC3"/>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0AAF"/>
    <w:rsid w:val="00E423DD"/>
    <w:rsid w:val="00E428A7"/>
    <w:rsid w:val="00E4357B"/>
    <w:rsid w:val="00E43707"/>
    <w:rsid w:val="00E44342"/>
    <w:rsid w:val="00E4441F"/>
    <w:rsid w:val="00E44674"/>
    <w:rsid w:val="00E44EE4"/>
    <w:rsid w:val="00E4542B"/>
    <w:rsid w:val="00E46847"/>
    <w:rsid w:val="00E50C8F"/>
    <w:rsid w:val="00E50CF3"/>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228"/>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5441756">
      <w:bodyDiv w:val="1"/>
      <w:marLeft w:val="0"/>
      <w:marRight w:val="0"/>
      <w:marTop w:val="0"/>
      <w:marBottom w:val="0"/>
      <w:divBdr>
        <w:top w:val="none" w:sz="0" w:space="0" w:color="auto"/>
        <w:left w:val="none" w:sz="0" w:space="0" w:color="auto"/>
        <w:bottom w:val="none" w:sz="0" w:space="0" w:color="auto"/>
        <w:right w:val="none" w:sz="0" w:space="0" w:color="auto"/>
      </w:divBdr>
      <w:divsChild>
        <w:div w:id="768695521">
          <w:marLeft w:val="1714"/>
          <w:marRight w:val="0"/>
          <w:marTop w:val="60"/>
          <w:marBottom w:val="0"/>
          <w:divBdr>
            <w:top w:val="none" w:sz="0" w:space="0" w:color="auto"/>
            <w:left w:val="none" w:sz="0" w:space="0" w:color="auto"/>
            <w:bottom w:val="none" w:sz="0" w:space="0" w:color="auto"/>
            <w:right w:val="none" w:sz="0" w:space="0" w:color="auto"/>
          </w:divBdr>
        </w:div>
        <w:div w:id="1298728062">
          <w:marLeft w:val="2434"/>
          <w:marRight w:val="0"/>
          <w:marTop w:val="60"/>
          <w:marBottom w:val="0"/>
          <w:divBdr>
            <w:top w:val="none" w:sz="0" w:space="0" w:color="auto"/>
            <w:left w:val="none" w:sz="0" w:space="0" w:color="auto"/>
            <w:bottom w:val="none" w:sz="0" w:space="0" w:color="auto"/>
            <w:right w:val="none" w:sz="0" w:space="0" w:color="auto"/>
          </w:divBdr>
        </w:div>
        <w:div w:id="170680847">
          <w:marLeft w:val="2434"/>
          <w:marRight w:val="0"/>
          <w:marTop w:val="60"/>
          <w:marBottom w:val="0"/>
          <w:divBdr>
            <w:top w:val="none" w:sz="0" w:space="0" w:color="auto"/>
            <w:left w:val="none" w:sz="0" w:space="0" w:color="auto"/>
            <w:bottom w:val="none" w:sz="0" w:space="0" w:color="auto"/>
            <w:right w:val="none" w:sz="0" w:space="0" w:color="auto"/>
          </w:divBdr>
        </w:div>
        <w:div w:id="195654704">
          <w:marLeft w:val="2434"/>
          <w:marRight w:val="0"/>
          <w:marTop w:val="60"/>
          <w:marBottom w:val="0"/>
          <w:divBdr>
            <w:top w:val="none" w:sz="0" w:space="0" w:color="auto"/>
            <w:left w:val="none" w:sz="0" w:space="0" w:color="auto"/>
            <w:bottom w:val="none" w:sz="0" w:space="0" w:color="auto"/>
            <w:right w:val="none" w:sz="0" w:space="0" w:color="auto"/>
          </w:divBdr>
        </w:div>
        <w:div w:id="487212665">
          <w:marLeft w:val="1714"/>
          <w:marRight w:val="0"/>
          <w:marTop w:val="60"/>
          <w:marBottom w:val="0"/>
          <w:divBdr>
            <w:top w:val="none" w:sz="0" w:space="0" w:color="auto"/>
            <w:left w:val="none" w:sz="0" w:space="0" w:color="auto"/>
            <w:bottom w:val="none" w:sz="0" w:space="0" w:color="auto"/>
            <w:right w:val="none" w:sz="0" w:space="0" w:color="auto"/>
          </w:divBdr>
        </w:div>
        <w:div w:id="1200432812">
          <w:marLeft w:val="2434"/>
          <w:marRight w:val="0"/>
          <w:marTop w:val="60"/>
          <w:marBottom w:val="0"/>
          <w:divBdr>
            <w:top w:val="none" w:sz="0" w:space="0" w:color="auto"/>
            <w:left w:val="none" w:sz="0" w:space="0" w:color="auto"/>
            <w:bottom w:val="none" w:sz="0" w:space="0" w:color="auto"/>
            <w:right w:val="none" w:sz="0" w:space="0" w:color="auto"/>
          </w:divBdr>
        </w:div>
      </w:divsChild>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7599809">
      <w:bodyDiv w:val="1"/>
      <w:marLeft w:val="0"/>
      <w:marRight w:val="0"/>
      <w:marTop w:val="0"/>
      <w:marBottom w:val="0"/>
      <w:divBdr>
        <w:top w:val="none" w:sz="0" w:space="0" w:color="auto"/>
        <w:left w:val="none" w:sz="0" w:space="0" w:color="auto"/>
        <w:bottom w:val="none" w:sz="0" w:space="0" w:color="auto"/>
        <w:right w:val="none" w:sz="0" w:space="0" w:color="auto"/>
      </w:divBdr>
      <w:divsChild>
        <w:div w:id="1467552658">
          <w:marLeft w:val="1166"/>
          <w:marRight w:val="0"/>
          <w:marTop w:val="60"/>
          <w:marBottom w:val="0"/>
          <w:divBdr>
            <w:top w:val="none" w:sz="0" w:space="0" w:color="auto"/>
            <w:left w:val="none" w:sz="0" w:space="0" w:color="auto"/>
            <w:bottom w:val="none" w:sz="0" w:space="0" w:color="auto"/>
            <w:right w:val="none" w:sz="0" w:space="0" w:color="auto"/>
          </w:divBdr>
        </w:div>
        <w:div w:id="974872836">
          <w:marLeft w:val="1166"/>
          <w:marRight w:val="0"/>
          <w:marTop w:val="60"/>
          <w:marBottom w:val="0"/>
          <w:divBdr>
            <w:top w:val="none" w:sz="0" w:space="0" w:color="auto"/>
            <w:left w:val="none" w:sz="0" w:space="0" w:color="auto"/>
            <w:bottom w:val="none" w:sz="0" w:space="0" w:color="auto"/>
            <w:right w:val="none" w:sz="0" w:space="0" w:color="auto"/>
          </w:divBdr>
        </w:div>
        <w:div w:id="664550706">
          <w:marLeft w:val="1166"/>
          <w:marRight w:val="0"/>
          <w:marTop w:val="60"/>
          <w:marBottom w:val="0"/>
          <w:divBdr>
            <w:top w:val="none" w:sz="0" w:space="0" w:color="auto"/>
            <w:left w:val="none" w:sz="0" w:space="0" w:color="auto"/>
            <w:bottom w:val="none" w:sz="0" w:space="0" w:color="auto"/>
            <w:right w:val="none" w:sz="0" w:space="0" w:color="auto"/>
          </w:divBdr>
        </w:div>
        <w:div w:id="136070428">
          <w:marLeft w:val="1166"/>
          <w:marRight w:val="0"/>
          <w:marTop w:val="6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72290387">
      <w:bodyDiv w:val="1"/>
      <w:marLeft w:val="0"/>
      <w:marRight w:val="0"/>
      <w:marTop w:val="0"/>
      <w:marBottom w:val="0"/>
      <w:divBdr>
        <w:top w:val="none" w:sz="0" w:space="0" w:color="auto"/>
        <w:left w:val="none" w:sz="0" w:space="0" w:color="auto"/>
        <w:bottom w:val="none" w:sz="0" w:space="0" w:color="auto"/>
        <w:right w:val="none" w:sz="0" w:space="0" w:color="auto"/>
      </w:divBdr>
      <w:divsChild>
        <w:div w:id="1654991838">
          <w:marLeft w:val="1714"/>
          <w:marRight w:val="0"/>
          <w:marTop w:val="60"/>
          <w:marBottom w:val="0"/>
          <w:divBdr>
            <w:top w:val="none" w:sz="0" w:space="0" w:color="auto"/>
            <w:left w:val="none" w:sz="0" w:space="0" w:color="auto"/>
            <w:bottom w:val="none" w:sz="0" w:space="0" w:color="auto"/>
            <w:right w:val="none" w:sz="0" w:space="0" w:color="auto"/>
          </w:divBdr>
        </w:div>
        <w:div w:id="92555515">
          <w:marLeft w:val="2434"/>
          <w:marRight w:val="0"/>
          <w:marTop w:val="60"/>
          <w:marBottom w:val="0"/>
          <w:divBdr>
            <w:top w:val="none" w:sz="0" w:space="0" w:color="auto"/>
            <w:left w:val="none" w:sz="0" w:space="0" w:color="auto"/>
            <w:bottom w:val="none" w:sz="0" w:space="0" w:color="auto"/>
            <w:right w:val="none" w:sz="0" w:space="0" w:color="auto"/>
          </w:divBdr>
        </w:div>
        <w:div w:id="1276060617">
          <w:marLeft w:val="2434"/>
          <w:marRight w:val="0"/>
          <w:marTop w:val="60"/>
          <w:marBottom w:val="0"/>
          <w:divBdr>
            <w:top w:val="none" w:sz="0" w:space="0" w:color="auto"/>
            <w:left w:val="none" w:sz="0" w:space="0" w:color="auto"/>
            <w:bottom w:val="none" w:sz="0" w:space="0" w:color="auto"/>
            <w:right w:val="none" w:sz="0" w:space="0" w:color="auto"/>
          </w:divBdr>
        </w:div>
        <w:div w:id="669602430">
          <w:marLeft w:val="2434"/>
          <w:marRight w:val="0"/>
          <w:marTop w:val="60"/>
          <w:marBottom w:val="0"/>
          <w:divBdr>
            <w:top w:val="none" w:sz="0" w:space="0" w:color="auto"/>
            <w:left w:val="none" w:sz="0" w:space="0" w:color="auto"/>
            <w:bottom w:val="none" w:sz="0" w:space="0" w:color="auto"/>
            <w:right w:val="none" w:sz="0" w:space="0" w:color="auto"/>
          </w:divBdr>
        </w:div>
        <w:div w:id="1567836851">
          <w:marLeft w:val="1714"/>
          <w:marRight w:val="0"/>
          <w:marTop w:val="60"/>
          <w:marBottom w:val="0"/>
          <w:divBdr>
            <w:top w:val="none" w:sz="0" w:space="0" w:color="auto"/>
            <w:left w:val="none" w:sz="0" w:space="0" w:color="auto"/>
            <w:bottom w:val="none" w:sz="0" w:space="0" w:color="auto"/>
            <w:right w:val="none" w:sz="0" w:space="0" w:color="auto"/>
          </w:divBdr>
        </w:div>
        <w:div w:id="1087506105">
          <w:marLeft w:val="2434"/>
          <w:marRight w:val="0"/>
          <w:marTop w:val="60"/>
          <w:marBottom w:val="0"/>
          <w:divBdr>
            <w:top w:val="none" w:sz="0" w:space="0" w:color="auto"/>
            <w:left w:val="none" w:sz="0" w:space="0" w:color="auto"/>
            <w:bottom w:val="none" w:sz="0" w:space="0" w:color="auto"/>
            <w:right w:val="none" w:sz="0" w:space="0" w:color="auto"/>
          </w:divBdr>
        </w:div>
      </w:divsChild>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89CD5-9C0F-45E2-A370-EEFF0A9F7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328</TotalTime>
  <Pages>2</Pages>
  <Words>595</Words>
  <Characters>3393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Akula, Prashanth</cp:lastModifiedBy>
  <cp:revision>12</cp:revision>
  <cp:lastPrinted>2016-03-25T21:53:00Z</cp:lastPrinted>
  <dcterms:created xsi:type="dcterms:W3CDTF">2019-03-27T01:59:00Z</dcterms:created>
  <dcterms:modified xsi:type="dcterms:W3CDTF">2019-03-29T17:19:00Z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